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C" w:rsidRDefault="00DB4A90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3886200"/>
            <wp:effectExtent l="0" t="0" r="0" b="0"/>
            <wp:docPr id="3" name="Picture 1" descr="Opština Brus: Čist vazduh i zdrava hrana - Domaćinska k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ština Brus: Čist vazduh i zdrava hrana - Domaćinska kuć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4B" w:rsidRPr="00DB4A90" w:rsidRDefault="00F55E4B" w:rsidP="00DB4A90">
      <w:pPr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Pr="00B63D36" w:rsidRDefault="00F55E4B" w:rsidP="00F55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D36">
        <w:rPr>
          <w:rFonts w:ascii="Times New Roman" w:hAnsi="Times New Roman" w:cs="Times New Roman"/>
          <w:b/>
          <w:sz w:val="32"/>
          <w:szCs w:val="32"/>
        </w:rPr>
        <w:t>ОПШТИНА БРУС</w:t>
      </w:r>
    </w:p>
    <w:p w:rsidR="00F55E4B" w:rsidRPr="00B63D36" w:rsidRDefault="00F55E4B" w:rsidP="00F55E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E4B" w:rsidRPr="00B63D36" w:rsidRDefault="00F55E4B" w:rsidP="00F55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D36">
        <w:rPr>
          <w:rFonts w:ascii="Times New Roman" w:hAnsi="Times New Roman" w:cs="Times New Roman"/>
          <w:b/>
          <w:sz w:val="32"/>
          <w:szCs w:val="32"/>
        </w:rPr>
        <w:t>ГРАЂАНСКИ БУЏЕТ</w:t>
      </w:r>
    </w:p>
    <w:p w:rsidR="00F55E4B" w:rsidRPr="00B63D36" w:rsidRDefault="00F55E4B" w:rsidP="00F55E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E4B" w:rsidRPr="00B63D36" w:rsidRDefault="00F55E4B" w:rsidP="00F55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D36">
        <w:rPr>
          <w:rFonts w:ascii="Times New Roman" w:hAnsi="Times New Roman" w:cs="Times New Roman"/>
          <w:b/>
          <w:sz w:val="32"/>
          <w:szCs w:val="32"/>
        </w:rPr>
        <w:t>Водич кроз буџет општине Брус за 2021. годину</w:t>
      </w: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Pr="00DB4A90" w:rsidRDefault="00F55E4B" w:rsidP="00DB4A90">
      <w:pPr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Садржај:</w:t>
      </w:r>
    </w:p>
    <w:p w:rsidR="00DB4A90" w:rsidRPr="00DB4A90" w:rsidRDefault="00F274A4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5E4B" w:rsidRPr="00F274A4" w:rsidRDefault="00DC4F3A" w:rsidP="00F274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7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4B" w:rsidRPr="00F274A4"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………………………………………………………………………………...3</w:t>
      </w:r>
    </w:p>
    <w:p w:rsidR="00F55E4B" w:rsidRPr="00F274A4" w:rsidRDefault="00F274A4" w:rsidP="00F274A4">
      <w:pPr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55E4B" w:rsidRPr="00F274A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F55E4B" w:rsidRPr="00F274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5E4B" w:rsidRPr="00F274A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DC4F3A">
        <w:rPr>
          <w:rFonts w:ascii="Times New Roman" w:hAnsi="Times New Roman" w:cs="Times New Roman"/>
          <w:sz w:val="24"/>
          <w:szCs w:val="24"/>
        </w:rPr>
        <w:t>…………………………………………………………...3</w:t>
      </w:r>
    </w:p>
    <w:p w:rsidR="00F55E4B" w:rsidRDefault="00DC4F3A" w:rsidP="00F274A4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..............................................................................................................3</w:t>
      </w:r>
    </w:p>
    <w:p w:rsidR="00F55E4B" w:rsidRDefault="00F55E4B" w:rsidP="00F274A4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DC4F3A">
        <w:rPr>
          <w:rFonts w:ascii="Times New Roman" w:hAnsi="Times New Roman" w:cs="Times New Roman"/>
          <w:sz w:val="24"/>
          <w:szCs w:val="24"/>
        </w:rPr>
        <w:t>…………………………………………………………..4</w:t>
      </w:r>
    </w:p>
    <w:p w:rsidR="00F55E4B" w:rsidRDefault="00F274A4" w:rsidP="00F274A4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5E4B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="00F55E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5E4B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DC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……………………………………………………………….5</w:t>
      </w:r>
    </w:p>
    <w:p w:rsidR="00F55E4B" w:rsidRDefault="00F55E4B" w:rsidP="00F274A4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издаци</w:t>
      </w:r>
      <w:proofErr w:type="spellEnd"/>
      <w:r w:rsidR="00DC4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…………………………………………………………………...7</w:t>
      </w:r>
    </w:p>
    <w:p w:rsidR="00F55E4B" w:rsidRDefault="00F55E4B" w:rsidP="00F274A4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2021. </w:t>
      </w:r>
      <w:proofErr w:type="spellStart"/>
      <w:r w:rsidR="00DC4F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DC4F3A">
        <w:rPr>
          <w:rFonts w:ascii="Times New Roman" w:hAnsi="Times New Roman" w:cs="Times New Roman"/>
          <w:sz w:val="24"/>
          <w:szCs w:val="24"/>
        </w:rPr>
        <w:t>……………………………………………..9</w:t>
      </w: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Pr="00DB4A90" w:rsidRDefault="00F55E4B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Pr="002739AE" w:rsidRDefault="00F55E4B" w:rsidP="00F55E4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9AE">
        <w:rPr>
          <w:rFonts w:ascii="Times New Roman" w:hAnsi="Times New Roman" w:cs="Times New Roman"/>
          <w:b/>
          <w:sz w:val="32"/>
          <w:szCs w:val="32"/>
        </w:rPr>
        <w:t>Увод</w:t>
      </w:r>
    </w:p>
    <w:p w:rsidR="00F55E4B" w:rsidRDefault="005D1DE6" w:rsidP="00F55E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Грађан</w:t>
      </w:r>
      <w:r w:rsidR="00F55E4B">
        <w:rPr>
          <w:rFonts w:ascii="Times New Roman" w:hAnsi="Times New Roman" w:cs="Times New Roman"/>
          <w:sz w:val="24"/>
          <w:szCs w:val="24"/>
        </w:rPr>
        <w:t>ски буџет представља приказ буџета општине Брус презентован на начин који има циљ да допринесе повећаном учешчу грађана у одређивању</w:t>
      </w:r>
      <w:r w:rsidR="00EB012C">
        <w:rPr>
          <w:rFonts w:ascii="Times New Roman" w:hAnsi="Times New Roman" w:cs="Times New Roman"/>
          <w:sz w:val="24"/>
          <w:szCs w:val="24"/>
        </w:rPr>
        <w:t xml:space="preserve"> буџетских приоритета, као и у планирању, расподели и трошењу буџетских средстава.</w:t>
      </w:r>
    </w:p>
    <w:p w:rsidR="00EB012C" w:rsidRDefault="00EB012C" w:rsidP="00F55E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B012C" w:rsidRDefault="00EB012C" w:rsidP="00F55E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B012C" w:rsidRDefault="00EB012C" w:rsidP="00F55E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B012C" w:rsidRDefault="00EB012C" w:rsidP="00EB012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9AE">
        <w:rPr>
          <w:rFonts w:ascii="Times New Roman" w:hAnsi="Times New Roman" w:cs="Times New Roman"/>
          <w:b/>
          <w:sz w:val="32"/>
          <w:szCs w:val="32"/>
        </w:rPr>
        <w:t>Послови и надлежности</w:t>
      </w:r>
    </w:p>
    <w:p w:rsidR="002739AE" w:rsidRPr="002739AE" w:rsidRDefault="002739AE" w:rsidP="002739A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B012C" w:rsidRDefault="00EB012C" w:rsidP="00EB01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 и надлежности општ</w:t>
      </w:r>
      <w:r w:rsidR="005D1DE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 дефинисани су Статутом општине Брус. Општина обезбеђује развој комуналних делатности, стара се о изградњи, реконструкцији, одржавању и коришћењу општинских путева</w:t>
      </w:r>
      <w:r w:rsidR="00E63AD6">
        <w:rPr>
          <w:rFonts w:ascii="Times New Roman" w:hAnsi="Times New Roman" w:cs="Times New Roman"/>
          <w:sz w:val="24"/>
          <w:szCs w:val="24"/>
        </w:rPr>
        <w:t xml:space="preserve"> и улица и других јавних објеката, стара се о задовољавању потреба грађана у области просвете, туризма, културе, спорта, здравствене и социјалне заштите као и друге послове прописане законом. Одлуком о буџету општине обезбеђују се средства за финансирање свих послова из надлежности локалне самоуправе.</w:t>
      </w:r>
    </w:p>
    <w:p w:rsidR="00E63AD6" w:rsidRDefault="00E63AD6" w:rsidP="00EB01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3AD6" w:rsidRDefault="00E63AD6" w:rsidP="00E63AD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AE">
        <w:rPr>
          <w:rFonts w:ascii="Times New Roman" w:hAnsi="Times New Roman" w:cs="Times New Roman"/>
          <w:b/>
          <w:sz w:val="28"/>
          <w:szCs w:val="28"/>
        </w:rPr>
        <w:t>Шта је буџет?</w:t>
      </w:r>
    </w:p>
    <w:p w:rsidR="002739AE" w:rsidRPr="002739AE" w:rsidRDefault="002739AE" w:rsidP="002739A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63AD6" w:rsidRDefault="00E63AD6" w:rsidP="00E63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 општ</w:t>
      </w:r>
      <w:r w:rsidR="005D1DE6">
        <w:rPr>
          <w:rFonts w:ascii="Times New Roman" w:hAnsi="Times New Roman" w:cs="Times New Roman"/>
          <w:sz w:val="24"/>
          <w:szCs w:val="24"/>
        </w:rPr>
        <w:t xml:space="preserve">ине је правни документ који се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D1D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носи у облику одлуке који утврђује план прихода и примања и расхода и издатака током једне календарске године.</w:t>
      </w:r>
    </w:p>
    <w:p w:rsidR="00E63AD6" w:rsidRDefault="00E63AD6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општинског буџета </w:t>
      </w:r>
      <w:r w:rsidR="002739AE">
        <w:rPr>
          <w:rFonts w:ascii="Times New Roman" w:hAnsi="Times New Roman" w:cs="Times New Roman"/>
          <w:sz w:val="24"/>
          <w:szCs w:val="24"/>
        </w:rPr>
        <w:t>се плаћају све обавезе локалне самоуправе. Исто тако у буџет се сливају приходи и примања из којих се подмирују те обавезе.</w:t>
      </w: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планирана у буџету представљају право на трошење које корисник буџетских средстава може потрошити уколико се оствари довољан износ прихода. Сваки буџетски кориснки је одговоран за трошење додељених средстава буџета у погледу законитости и сврсисходности.</w:t>
      </w: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Процес припреме буџета</w:t>
      </w:r>
    </w:p>
    <w:p w:rsidR="002739AE" w:rsidRDefault="002739AE" w:rsidP="002739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Default="002739AE" w:rsidP="002739A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планирања буџета општине полази се од Закона о буџетском систему, Закона о буџету Републике Србије, Фискалне стратегије, Упутства Министарства финансија, Упутства одсека за финансије и планирање, стратешких циљева општине, предлога финансијских планова буџетских корисника.</w:t>
      </w:r>
    </w:p>
    <w:p w:rsidR="00942912" w:rsidRDefault="00942912" w:rsidP="002739A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739AE" w:rsidRPr="002739AE" w:rsidRDefault="002739AE" w:rsidP="002739A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Слика показује</w:t>
      </w:r>
      <w:r w:rsidR="00942912">
        <w:rPr>
          <w:rFonts w:ascii="Times New Roman" w:hAnsi="Times New Roman" w:cs="Times New Roman"/>
          <w:sz w:val="24"/>
          <w:szCs w:val="24"/>
        </w:rPr>
        <w:t xml:space="preserve"> циклус планирања, утврђивања приоритета финансирања и израде годишњег буџета:</w:t>
      </w:r>
    </w:p>
    <w:p w:rsidR="002739AE" w:rsidRPr="002739AE" w:rsidRDefault="002739AE" w:rsidP="00273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E4B" w:rsidRDefault="00F55E4B" w:rsidP="00F5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4B" w:rsidRDefault="00366A9A" w:rsidP="00BF3160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77.9pt;margin-top:25.15pt;width:29.25pt;height:10.5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3" style="position:absolute;left:0;text-align:left;margin-left:96.4pt;margin-top:25.15pt;width:32.25pt;height:10.5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4.65pt;margin-top:.4pt;width:146.25pt;height:53.2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BF3160" w:rsidRDefault="00BF3160">
                  <w:r>
                    <w:t>1.СЕПТЕМБАР Достављање предлога финансијских планова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34.65pt;margin-top:.4pt;width:135.75pt;height:53.2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BF3160" w:rsidRDefault="00BF3160">
                  <w:r>
                    <w:t>1.АВГУСТ Упутство за припрему нацрта буџета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56.6pt;margin-top:.4pt;width:144.75pt;height:52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F3160" w:rsidRDefault="00BF3160">
                  <w:r>
                    <w:t>ЈАНУАР-МАРТ Анализа постигнутог у претходној години</w:t>
                  </w:r>
                </w:p>
                <w:p w:rsidR="00BF3160" w:rsidRPr="00BF3160" w:rsidRDefault="00BF3160">
                  <w:r>
                    <w:t>по</w:t>
                  </w:r>
                </w:p>
              </w:txbxContent>
            </v:textbox>
          </v:shape>
        </w:pict>
      </w:r>
      <w:r w:rsidR="00BF3160">
        <w:rPr>
          <w:rFonts w:ascii="Times New Roman" w:hAnsi="Times New Roman" w:cs="Times New Roman"/>
          <w:sz w:val="24"/>
          <w:szCs w:val="24"/>
        </w:rPr>
        <w:tab/>
      </w:r>
    </w:p>
    <w:p w:rsidR="00942912" w:rsidRPr="00BF3160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366A9A" w:rsidP="00F5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389.65pt;margin-top:11.65pt;width:15pt;height:25.5pt;z-index:25166745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942912" w:rsidRDefault="00366A9A" w:rsidP="00F5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19.9pt;margin-top:24.8pt;width:141pt;height:51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63E76" w:rsidRDefault="00263E76">
                  <w:r>
                    <w:t>15.ОКТОБАР Нацрт одлуке о буџету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34.65pt;margin-top:20.3pt;width:139.5pt;height:55.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263E76" w:rsidRDefault="00263E76">
                  <w:r>
                    <w:t xml:space="preserve">1.НОВЕМБАР Предлог одлуке о буџету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56.6pt;margin-top:19.55pt;width:144.75pt;height:56.2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263E76" w:rsidRDefault="00263E76">
                  <w:r>
                    <w:t>20.ДЕЦЕМБАР Буџет усвојен у Скупштини општине</w:t>
                  </w:r>
                </w:p>
              </w:txbxContent>
            </v:textbox>
          </v:shape>
        </w:pict>
      </w:r>
    </w:p>
    <w:p w:rsidR="00942912" w:rsidRDefault="00366A9A" w:rsidP="00F5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84.65pt;margin-top:16.9pt;width:30pt;height:15.75pt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6" style="position:absolute;left:0;text-align:left;margin-left:96.4pt;margin-top:16.9pt;width:32.25pt;height:11.25pt;z-index:251668480" fillcolor="#c0504d [3205]" strokecolor="#f2f2f2 [3041]" strokeweight="3pt">
            <v:shadow on="t" type="perspective" color="#622423 [1605]" opacity=".5" offset="1pt" offset2="-1pt"/>
          </v:shape>
        </w:pict>
      </w: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366A9A" w:rsidP="00F5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67" style="position:absolute;left:0;text-align:left;margin-left:-.35pt;margin-top:21.4pt;width:24pt;height:36.75pt;z-index:25167052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263E76" w:rsidRDefault="00263E76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366A9A" w:rsidP="00F5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-56.6pt;margin-top:20.3pt;width:144.75pt;height:53.2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63E76" w:rsidRDefault="00263E76">
                  <w:r>
                    <w:t>25.ДЕЦЕМБАР Буџет се достаља секретаријату за финансије</w:t>
                  </w:r>
                </w:p>
              </w:txbxContent>
            </v:textbox>
          </v:shape>
        </w:pict>
      </w: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CC7" w:rsidRDefault="006D5CC7" w:rsidP="00F5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94291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Приходи и примања</w:t>
      </w:r>
    </w:p>
    <w:p w:rsidR="00942912" w:rsidRDefault="00942912" w:rsidP="00942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 се пуни новцем од:</w:t>
      </w:r>
    </w:p>
    <w:p w:rsidR="00942912" w:rsidRDefault="00942912" w:rsidP="00942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94291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пореских прихода</w:t>
      </w:r>
    </w:p>
    <w:p w:rsidR="00942912" w:rsidRDefault="00942912" w:rsidP="0094291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донација и трансфера</w:t>
      </w:r>
    </w:p>
    <w:p w:rsidR="00942912" w:rsidRDefault="00942912" w:rsidP="0094291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непореских прихода</w:t>
      </w:r>
    </w:p>
    <w:p w:rsidR="00942912" w:rsidRDefault="00942912" w:rsidP="0094291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примања од продаје нефинансијске имовине</w:t>
      </w:r>
    </w:p>
    <w:p w:rsidR="00942912" w:rsidRDefault="00942912" w:rsidP="0094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94291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42912">
        <w:rPr>
          <w:rFonts w:ascii="Times New Roman" w:hAnsi="Times New Roman" w:cs="Times New Roman"/>
          <w:sz w:val="24"/>
          <w:szCs w:val="24"/>
          <w:u w:val="single"/>
        </w:rPr>
        <w:t>Пореске приходе</w:t>
      </w:r>
      <w:r>
        <w:rPr>
          <w:rFonts w:ascii="Times New Roman" w:hAnsi="Times New Roman" w:cs="Times New Roman"/>
          <w:sz w:val="24"/>
          <w:szCs w:val="24"/>
        </w:rPr>
        <w:t xml:space="preserve"> општина Брус прикупља кроз порез на зараде, добит и капиталне добитке, порез на имовину и осталих пореза.</w:t>
      </w:r>
    </w:p>
    <w:p w:rsidR="00942912" w:rsidRDefault="0094291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42912" w:rsidRDefault="00B7217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2172">
        <w:rPr>
          <w:rFonts w:ascii="Times New Roman" w:hAnsi="Times New Roman" w:cs="Times New Roman"/>
          <w:sz w:val="24"/>
          <w:szCs w:val="24"/>
          <w:u w:val="single"/>
        </w:rPr>
        <w:t>Трансфери од других нивоа власти</w:t>
      </w:r>
      <w:r w:rsidR="005D1DE6">
        <w:rPr>
          <w:rFonts w:ascii="Times New Roman" w:hAnsi="Times New Roman" w:cs="Times New Roman"/>
          <w:sz w:val="24"/>
          <w:szCs w:val="24"/>
        </w:rPr>
        <w:t xml:space="preserve"> подразумевају пренос новца и</w:t>
      </w:r>
      <w:r>
        <w:rPr>
          <w:rFonts w:ascii="Times New Roman" w:hAnsi="Times New Roman" w:cs="Times New Roman"/>
          <w:sz w:val="24"/>
          <w:szCs w:val="24"/>
        </w:rPr>
        <w:t>з Републике у корист општине, а донације се добијају</w:t>
      </w:r>
      <w:r w:rsidR="005D1DE6">
        <w:rPr>
          <w:rFonts w:ascii="Times New Roman" w:hAnsi="Times New Roman" w:cs="Times New Roman"/>
          <w:sz w:val="24"/>
          <w:szCs w:val="24"/>
        </w:rPr>
        <w:t xml:space="preserve"> од домаћих и страних донатора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D1D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D1DE6">
        <w:rPr>
          <w:rFonts w:ascii="Times New Roman" w:hAnsi="Times New Roman" w:cs="Times New Roman"/>
          <w:sz w:val="24"/>
          <w:szCs w:val="24"/>
        </w:rPr>
        <w:t>азличите пројект</w:t>
      </w:r>
      <w:r>
        <w:rPr>
          <w:rFonts w:ascii="Times New Roman" w:hAnsi="Times New Roman" w:cs="Times New Roman"/>
          <w:sz w:val="24"/>
          <w:szCs w:val="24"/>
        </w:rPr>
        <w:t>е општине.</w:t>
      </w:r>
    </w:p>
    <w:p w:rsidR="00B72172" w:rsidRDefault="00B7217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2172" w:rsidRDefault="00B7217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2172">
        <w:rPr>
          <w:rFonts w:ascii="Times New Roman" w:hAnsi="Times New Roman" w:cs="Times New Roman"/>
          <w:sz w:val="24"/>
          <w:szCs w:val="24"/>
          <w:u w:val="single"/>
        </w:rPr>
        <w:t>Непорески приход</w:t>
      </w:r>
      <w:r>
        <w:rPr>
          <w:rFonts w:ascii="Times New Roman" w:hAnsi="Times New Roman" w:cs="Times New Roman"/>
          <w:sz w:val="24"/>
          <w:szCs w:val="24"/>
        </w:rPr>
        <w:t xml:space="preserve"> општина Брус прикупља кроз комуналне таксе, општинске административне таксе, боравишне таксе, прихода од новчаних казни, прихода од закупа, прихода по основу пружања услуга боравка деце у предшколској установи, осталих прихода, накнада за коришћење грађевинског земљишта, накнада за уређење грађевинског земљишта и осталих накнада.</w:t>
      </w:r>
    </w:p>
    <w:p w:rsidR="00B72172" w:rsidRDefault="00B7217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2172" w:rsidRDefault="00B7217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2172">
        <w:rPr>
          <w:rFonts w:ascii="Times New Roman" w:hAnsi="Times New Roman" w:cs="Times New Roman"/>
          <w:sz w:val="24"/>
          <w:szCs w:val="24"/>
          <w:u w:val="single"/>
        </w:rPr>
        <w:t>Примања од продаје нефинансијске имовине</w:t>
      </w:r>
      <w:r>
        <w:rPr>
          <w:rFonts w:ascii="Times New Roman" w:hAnsi="Times New Roman" w:cs="Times New Roman"/>
          <w:sz w:val="24"/>
          <w:szCs w:val="24"/>
        </w:rPr>
        <w:t xml:space="preserve"> се остварују продајом покретности и непокретности које су у власништву општине.</w:t>
      </w:r>
    </w:p>
    <w:p w:rsidR="00B72172" w:rsidRDefault="00B7217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2172" w:rsidRDefault="00B72172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структури прихода и примања порески приходи су планирани у износу од 283.800.000</w:t>
      </w:r>
      <w:r w:rsidR="005D1DE6">
        <w:rPr>
          <w:rFonts w:ascii="Times New Roman" w:hAnsi="Times New Roman" w:cs="Times New Roman"/>
          <w:sz w:val="24"/>
          <w:szCs w:val="24"/>
        </w:rPr>
        <w:t xml:space="preserve"> динара, односно учествују са 50,41</w:t>
      </w:r>
      <w:r>
        <w:rPr>
          <w:rFonts w:ascii="Times New Roman" w:hAnsi="Times New Roman" w:cs="Times New Roman"/>
          <w:sz w:val="24"/>
          <w:szCs w:val="24"/>
        </w:rPr>
        <w:t>% у укупним приходима и примањима; донације и трансфери</w:t>
      </w:r>
      <w:r w:rsidR="005D1DE6">
        <w:rPr>
          <w:rFonts w:ascii="Times New Roman" w:hAnsi="Times New Roman" w:cs="Times New Roman"/>
          <w:sz w:val="24"/>
          <w:szCs w:val="24"/>
        </w:rPr>
        <w:t xml:space="preserve"> су планирани у износу од 253.4</w:t>
      </w:r>
      <w:r w:rsidR="00621F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1DE6">
        <w:rPr>
          <w:rFonts w:ascii="Times New Roman" w:hAnsi="Times New Roman" w:cs="Times New Roman"/>
          <w:sz w:val="24"/>
          <w:szCs w:val="24"/>
        </w:rPr>
        <w:t>.000 динара и представљају 45,01</w:t>
      </w:r>
      <w:r>
        <w:rPr>
          <w:rFonts w:ascii="Times New Roman" w:hAnsi="Times New Roman" w:cs="Times New Roman"/>
          <w:sz w:val="24"/>
          <w:szCs w:val="24"/>
        </w:rPr>
        <w:t>% укупно планираних прихода и примања; непорески приходи су планирани у износу од 23.29</w:t>
      </w:r>
      <w:r w:rsidR="005D1DE6">
        <w:rPr>
          <w:rFonts w:ascii="Times New Roman" w:hAnsi="Times New Roman" w:cs="Times New Roman"/>
          <w:sz w:val="24"/>
          <w:szCs w:val="24"/>
        </w:rPr>
        <w:t>0.000 динара и учествују са 4,14</w:t>
      </w:r>
      <w:r>
        <w:rPr>
          <w:rFonts w:ascii="Times New Roman" w:hAnsi="Times New Roman" w:cs="Times New Roman"/>
          <w:sz w:val="24"/>
          <w:szCs w:val="24"/>
        </w:rPr>
        <w:t>%</w:t>
      </w:r>
      <w:r w:rsidR="0097437E">
        <w:rPr>
          <w:rFonts w:ascii="Times New Roman" w:hAnsi="Times New Roman" w:cs="Times New Roman"/>
          <w:sz w:val="24"/>
          <w:szCs w:val="24"/>
        </w:rPr>
        <w:t xml:space="preserve"> у укупно планираним приходима и примањима и примања од продаје непокретности планирана су у износу </w:t>
      </w:r>
      <w:r w:rsidR="005D1DE6">
        <w:rPr>
          <w:rFonts w:ascii="Times New Roman" w:hAnsi="Times New Roman" w:cs="Times New Roman"/>
          <w:sz w:val="24"/>
          <w:szCs w:val="24"/>
        </w:rPr>
        <w:t>од 2.500.000 динара односно 0,44</w:t>
      </w:r>
      <w:r w:rsidR="0097437E">
        <w:rPr>
          <w:rFonts w:ascii="Times New Roman" w:hAnsi="Times New Roman" w:cs="Times New Roman"/>
          <w:sz w:val="24"/>
          <w:szCs w:val="24"/>
        </w:rPr>
        <w:t>% учешћа у укупно планираним приходима и примањима.</w:t>
      </w:r>
    </w:p>
    <w:p w:rsidR="0097437E" w:rsidRDefault="0097437E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97437E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следећим графиконима</w:t>
      </w:r>
      <w:r w:rsidR="00DC5A5D">
        <w:rPr>
          <w:rFonts w:ascii="Times New Roman" w:hAnsi="Times New Roman" w:cs="Times New Roman"/>
          <w:sz w:val="24"/>
          <w:szCs w:val="24"/>
        </w:rPr>
        <w:t xml:space="preserve"> приказана је структура прихода и примања општине Брус за 2021. годину, како у новцаном износу тако и у процентуалном.</w:t>
      </w: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F27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Pr="00A607F9" w:rsidRDefault="00A607F9" w:rsidP="0094291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07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План прихода и примања</w:t>
      </w:r>
      <w:r>
        <w:rPr>
          <w:rFonts w:ascii="Times New Roman" w:hAnsi="Times New Roman" w:cs="Times New Roman"/>
          <w:sz w:val="28"/>
          <w:szCs w:val="28"/>
        </w:rPr>
        <w:t xml:space="preserve">                     у 000</w:t>
      </w:r>
    </w:p>
    <w:p w:rsidR="00DC5A5D" w:rsidRDefault="00A607F9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607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35147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Pr="00A607F9" w:rsidRDefault="00A607F9" w:rsidP="004561D8">
      <w:pPr>
        <w:spacing w:after="0"/>
        <w:ind w:left="-810" w:firstLine="1515"/>
        <w:jc w:val="both"/>
        <w:rPr>
          <w:rFonts w:ascii="Times New Roman" w:hAnsi="Times New Roman" w:cs="Times New Roman"/>
          <w:sz w:val="24"/>
          <w:szCs w:val="24"/>
        </w:rPr>
      </w:pPr>
      <w:r w:rsidRPr="00A607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4191000"/>
            <wp:effectExtent l="19050" t="0" r="9525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D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7437E" w:rsidRDefault="00DC5A5D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</w:t>
      </w:r>
      <w:r w:rsidR="00DA7B13">
        <w:rPr>
          <w:rFonts w:ascii="Times New Roman" w:hAnsi="Times New Roman" w:cs="Times New Roman"/>
          <w:sz w:val="24"/>
          <w:szCs w:val="24"/>
        </w:rPr>
        <w:t>и планирани на средствима из осталих извора у износу од 6.000.000 динара односе се на наменска средства од Министарства просвете за припремни предшколски програм.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B13" w:rsidRDefault="00DA7B13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A7B13" w:rsidRDefault="00DA7B13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A7B13" w:rsidRDefault="00DA7B13" w:rsidP="005D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13" w:rsidRDefault="00DA7B13" w:rsidP="009429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A7B13" w:rsidRDefault="00DA7B13" w:rsidP="00DA7B1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Расходи и издаци</w:t>
      </w:r>
    </w:p>
    <w:p w:rsidR="00DA7B13" w:rsidRDefault="00DA7B13" w:rsidP="00DA7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Расходи и издатке чине:</w:t>
      </w:r>
    </w:p>
    <w:p w:rsidR="00DA7B13" w:rsidRDefault="00DA7B13" w:rsidP="00DA7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13" w:rsidRDefault="00DA7B13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03">
        <w:rPr>
          <w:rFonts w:ascii="Times New Roman" w:hAnsi="Times New Roman" w:cs="Times New Roman"/>
          <w:sz w:val="24"/>
          <w:szCs w:val="24"/>
          <w:u w:val="single"/>
        </w:rPr>
        <w:t>Расходи за запослене</w:t>
      </w:r>
      <w:r>
        <w:rPr>
          <w:rFonts w:ascii="Times New Roman" w:hAnsi="Times New Roman" w:cs="Times New Roman"/>
          <w:sz w:val="24"/>
          <w:szCs w:val="24"/>
        </w:rPr>
        <w:t xml:space="preserve"> представљају плате запослених, превоз на посао и са посла, јубиларне награде и друге трошко</w:t>
      </w:r>
      <w:r w:rsidR="00AD4639">
        <w:rPr>
          <w:rFonts w:ascii="Times New Roman" w:hAnsi="Times New Roman" w:cs="Times New Roman"/>
          <w:sz w:val="24"/>
          <w:szCs w:val="24"/>
        </w:rPr>
        <w:t>ве запослених прописане законом.</w:t>
      </w:r>
    </w:p>
    <w:p w:rsidR="00DA7B13" w:rsidRDefault="00DA7B13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03">
        <w:rPr>
          <w:rFonts w:ascii="Times New Roman" w:hAnsi="Times New Roman" w:cs="Times New Roman"/>
          <w:sz w:val="24"/>
          <w:szCs w:val="24"/>
          <w:u w:val="single"/>
        </w:rPr>
        <w:t>Коришћење роба и услуга</w:t>
      </w:r>
      <w:r>
        <w:rPr>
          <w:rFonts w:ascii="Times New Roman" w:hAnsi="Times New Roman" w:cs="Times New Roman"/>
          <w:sz w:val="24"/>
          <w:szCs w:val="24"/>
        </w:rPr>
        <w:t xml:space="preserve"> обухвата сталне трошкове</w:t>
      </w:r>
      <w:r w:rsidR="00AD4639">
        <w:rPr>
          <w:rFonts w:ascii="Times New Roman" w:hAnsi="Times New Roman" w:cs="Times New Roman"/>
          <w:sz w:val="24"/>
          <w:szCs w:val="24"/>
        </w:rPr>
        <w:t>, путне трошкове, услуге по уговору, специјализоване услуге и текуће поправке и одржавање и материјал.</w:t>
      </w:r>
    </w:p>
    <w:p w:rsidR="00AD4639" w:rsidRDefault="00AD4639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03">
        <w:rPr>
          <w:rFonts w:ascii="Times New Roman" w:hAnsi="Times New Roman" w:cs="Times New Roman"/>
          <w:sz w:val="24"/>
          <w:szCs w:val="24"/>
          <w:u w:val="single"/>
        </w:rPr>
        <w:t>Отплата домаћих камата</w:t>
      </w:r>
      <w:r>
        <w:rPr>
          <w:rFonts w:ascii="Times New Roman" w:hAnsi="Times New Roman" w:cs="Times New Roman"/>
          <w:sz w:val="24"/>
          <w:szCs w:val="24"/>
        </w:rPr>
        <w:t xml:space="preserve"> обухвата месечну камату по основу Уговора о дугорочном наменском кредиту ск</w:t>
      </w:r>
      <w:r w:rsidR="000611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опљеном</w:t>
      </w:r>
      <w:r w:rsidR="0006113E">
        <w:rPr>
          <w:rFonts w:ascii="Times New Roman" w:hAnsi="Times New Roman" w:cs="Times New Roman"/>
          <w:sz w:val="24"/>
          <w:szCs w:val="24"/>
        </w:rPr>
        <w:t xml:space="preserve"> 14.10.2015. године на име капиталних улагања.</w:t>
      </w:r>
    </w:p>
    <w:p w:rsidR="0006113E" w:rsidRDefault="0006113E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03">
        <w:rPr>
          <w:rFonts w:ascii="Times New Roman" w:hAnsi="Times New Roman" w:cs="Times New Roman"/>
          <w:sz w:val="24"/>
          <w:szCs w:val="24"/>
          <w:u w:val="single"/>
        </w:rPr>
        <w:t xml:space="preserve">Субвенције </w:t>
      </w:r>
      <w:r w:rsidR="005D1DE6">
        <w:rPr>
          <w:rFonts w:ascii="Times New Roman" w:hAnsi="Times New Roman" w:cs="Times New Roman"/>
          <w:sz w:val="24"/>
          <w:szCs w:val="24"/>
        </w:rPr>
        <w:t>су планиране у износу од 10</w:t>
      </w:r>
      <w:r>
        <w:rPr>
          <w:rFonts w:ascii="Times New Roman" w:hAnsi="Times New Roman" w:cs="Times New Roman"/>
          <w:sz w:val="24"/>
          <w:szCs w:val="24"/>
        </w:rPr>
        <w:t>.400.000 динара и то је 2.000.000 динара</w:t>
      </w:r>
      <w:r w:rsidR="005D1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621F04">
        <w:rPr>
          <w:rFonts w:ascii="Times New Roman" w:hAnsi="Times New Roman" w:cs="Times New Roman"/>
          <w:sz w:val="24"/>
          <w:szCs w:val="24"/>
        </w:rPr>
        <w:t>љено за ЈКП „Расина“, износ од 4</w:t>
      </w:r>
      <w:r>
        <w:rPr>
          <w:rFonts w:ascii="Times New Roman" w:hAnsi="Times New Roman" w:cs="Times New Roman"/>
          <w:sz w:val="24"/>
          <w:szCs w:val="24"/>
        </w:rPr>
        <w:t>.000.000 динара за субвенциони</w:t>
      </w:r>
      <w:r w:rsidR="00E23D0F">
        <w:rPr>
          <w:rFonts w:ascii="Times New Roman" w:hAnsi="Times New Roman" w:cs="Times New Roman"/>
          <w:sz w:val="24"/>
          <w:szCs w:val="24"/>
        </w:rPr>
        <w:t>сање пољопривредних произвођача</w:t>
      </w:r>
      <w:r w:rsidR="005D1DE6">
        <w:rPr>
          <w:rFonts w:ascii="Times New Roman" w:hAnsi="Times New Roman" w:cs="Times New Roman"/>
          <w:sz w:val="24"/>
          <w:szCs w:val="24"/>
        </w:rPr>
        <w:t>,</w:t>
      </w:r>
      <w:r w:rsidR="00E23D0F">
        <w:rPr>
          <w:rFonts w:ascii="Times New Roman" w:hAnsi="Times New Roman" w:cs="Times New Roman"/>
          <w:sz w:val="24"/>
          <w:szCs w:val="24"/>
        </w:rPr>
        <w:t xml:space="preserve"> 1.400.000 динара за унапређење јавног информисања и 3.000.000 динара за услуге социјалне заштите и то за услугу личног пратиоца, дневног боравка и помоћ у кући.</w:t>
      </w:r>
    </w:p>
    <w:p w:rsidR="00E23D0F" w:rsidRDefault="00E23D0F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003">
        <w:rPr>
          <w:rFonts w:ascii="Times New Roman" w:hAnsi="Times New Roman" w:cs="Times New Roman"/>
          <w:sz w:val="24"/>
          <w:szCs w:val="24"/>
          <w:u w:val="single"/>
        </w:rPr>
        <w:t>Донације, дотације и трансфери</w:t>
      </w:r>
      <w:r w:rsidR="005D1DE6">
        <w:rPr>
          <w:rFonts w:ascii="Times New Roman" w:hAnsi="Times New Roman" w:cs="Times New Roman"/>
          <w:sz w:val="24"/>
          <w:szCs w:val="24"/>
        </w:rPr>
        <w:t xml:space="preserve"> планирани су у износу од 77.5</w:t>
      </w:r>
      <w:r>
        <w:rPr>
          <w:rFonts w:ascii="Times New Roman" w:hAnsi="Times New Roman" w:cs="Times New Roman"/>
          <w:sz w:val="24"/>
          <w:szCs w:val="24"/>
        </w:rPr>
        <w:t>00.000 динара и то за финансирање основног образовања у износу од 53.500.000 динара, за средње образовање 10.000.000 динара,</w:t>
      </w:r>
      <w:r w:rsidR="005D1DE6">
        <w:rPr>
          <w:rFonts w:ascii="Times New Roman" w:hAnsi="Times New Roman" w:cs="Times New Roman"/>
          <w:sz w:val="24"/>
          <w:szCs w:val="24"/>
        </w:rPr>
        <w:t xml:space="preserve"> за финансирање Дома здравља 3.5</w:t>
      </w:r>
      <w:r>
        <w:rPr>
          <w:rFonts w:ascii="Times New Roman" w:hAnsi="Times New Roman" w:cs="Times New Roman"/>
          <w:sz w:val="24"/>
          <w:szCs w:val="24"/>
        </w:rPr>
        <w:t>00.000 динара, за финансирање једнократних помоћи и других услуга преко Центра за социјални рад у износу од 4.500.000 динара, за локални економски развој у износу од 6.000.000 динара где се у сарадњи са НСЗ финансира самозапошљавање и развој предузетништва.</w:t>
      </w:r>
    </w:p>
    <w:p w:rsidR="00E23D0F" w:rsidRDefault="007736AC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E5">
        <w:rPr>
          <w:rFonts w:ascii="Times New Roman" w:hAnsi="Times New Roman" w:cs="Times New Roman"/>
          <w:sz w:val="24"/>
          <w:szCs w:val="24"/>
          <w:u w:val="single"/>
        </w:rPr>
        <w:t>Социјално осигурање и социјалн</w:t>
      </w:r>
      <w:r w:rsidR="00E23D0F" w:rsidRPr="00DC5DE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D0F" w:rsidRPr="00DC5DE5">
        <w:rPr>
          <w:rFonts w:ascii="Times New Roman" w:hAnsi="Times New Roman" w:cs="Times New Roman"/>
          <w:sz w:val="24"/>
          <w:szCs w:val="24"/>
          <w:u w:val="single"/>
        </w:rPr>
        <w:t>заштита</w:t>
      </w:r>
      <w:r w:rsidR="00EF272C">
        <w:rPr>
          <w:rFonts w:ascii="Times New Roman" w:hAnsi="Times New Roman" w:cs="Times New Roman"/>
          <w:sz w:val="24"/>
          <w:szCs w:val="24"/>
        </w:rPr>
        <w:t xml:space="preserve"> представљају накнаде за социјалну заштиту из буџета (превоз предшколске деце, накнада за новорођенчад и др.).</w:t>
      </w:r>
    </w:p>
    <w:p w:rsidR="00EF272C" w:rsidRDefault="00EF272C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E5">
        <w:rPr>
          <w:rFonts w:ascii="Times New Roman" w:hAnsi="Times New Roman" w:cs="Times New Roman"/>
          <w:sz w:val="24"/>
          <w:szCs w:val="24"/>
          <w:u w:val="single"/>
        </w:rPr>
        <w:t>Остали расходи</w:t>
      </w:r>
      <w:r>
        <w:rPr>
          <w:rFonts w:ascii="Times New Roman" w:hAnsi="Times New Roman" w:cs="Times New Roman"/>
          <w:sz w:val="24"/>
          <w:szCs w:val="24"/>
        </w:rPr>
        <w:t xml:space="preserve"> обухватају таксе, пенале, накнаде штете и финансирање удружења грађана.</w:t>
      </w:r>
    </w:p>
    <w:p w:rsidR="00EF272C" w:rsidRDefault="00EF272C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E5">
        <w:rPr>
          <w:rFonts w:ascii="Times New Roman" w:hAnsi="Times New Roman" w:cs="Times New Roman"/>
          <w:sz w:val="24"/>
          <w:szCs w:val="24"/>
          <w:u w:val="single"/>
        </w:rPr>
        <w:t>Административни трансфери</w:t>
      </w:r>
      <w:r>
        <w:rPr>
          <w:rFonts w:ascii="Times New Roman" w:hAnsi="Times New Roman" w:cs="Times New Roman"/>
          <w:sz w:val="24"/>
          <w:szCs w:val="24"/>
        </w:rPr>
        <w:t xml:space="preserve"> обухватају текућу и сталну буџетску резерву које се користе за непланиране и недовољно планиране расходе и издатке.</w:t>
      </w:r>
    </w:p>
    <w:p w:rsidR="00EF272C" w:rsidRDefault="00EF272C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E5">
        <w:rPr>
          <w:rFonts w:ascii="Times New Roman" w:hAnsi="Times New Roman" w:cs="Times New Roman"/>
          <w:sz w:val="24"/>
          <w:szCs w:val="24"/>
          <w:u w:val="single"/>
        </w:rPr>
        <w:t>Издаци за нефинансијску имовину</w:t>
      </w:r>
      <w:r>
        <w:rPr>
          <w:rFonts w:ascii="Times New Roman" w:hAnsi="Times New Roman" w:cs="Times New Roman"/>
          <w:sz w:val="24"/>
          <w:szCs w:val="24"/>
        </w:rPr>
        <w:t xml:space="preserve"> су трошкови за основна средства, зграде, машине, опрему и земљиште.</w:t>
      </w:r>
    </w:p>
    <w:p w:rsidR="00EF272C" w:rsidRDefault="00EF272C" w:rsidP="00DA7B1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E5">
        <w:rPr>
          <w:rFonts w:ascii="Times New Roman" w:hAnsi="Times New Roman" w:cs="Times New Roman"/>
          <w:sz w:val="24"/>
          <w:szCs w:val="24"/>
          <w:u w:val="single"/>
        </w:rPr>
        <w:t>Отплата главнице</w:t>
      </w:r>
      <w:r>
        <w:rPr>
          <w:rFonts w:ascii="Times New Roman" w:hAnsi="Times New Roman" w:cs="Times New Roman"/>
          <w:sz w:val="24"/>
          <w:szCs w:val="24"/>
        </w:rPr>
        <w:t xml:space="preserve"> је трошак по основу кредита.</w:t>
      </w:r>
    </w:p>
    <w:p w:rsidR="00021D76" w:rsidRDefault="00021D76" w:rsidP="00DC5DE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структури расхода и издатака</w:t>
      </w:r>
      <w:r w:rsidR="00DC5DE5">
        <w:rPr>
          <w:rFonts w:ascii="Times New Roman" w:hAnsi="Times New Roman" w:cs="Times New Roman"/>
          <w:sz w:val="24"/>
          <w:szCs w:val="24"/>
        </w:rPr>
        <w:t xml:space="preserve"> имамо: расходе за запослене у износу од 155.797.220 динара, коришће</w:t>
      </w:r>
      <w:r w:rsidR="005D1DE6">
        <w:rPr>
          <w:rFonts w:ascii="Times New Roman" w:hAnsi="Times New Roman" w:cs="Times New Roman"/>
          <w:sz w:val="24"/>
          <w:szCs w:val="24"/>
        </w:rPr>
        <w:t>ње услуга и роба у износу од 143</w:t>
      </w:r>
      <w:r w:rsidR="00DC5DE5">
        <w:rPr>
          <w:rFonts w:ascii="Times New Roman" w:hAnsi="Times New Roman" w:cs="Times New Roman"/>
          <w:sz w:val="24"/>
          <w:szCs w:val="24"/>
        </w:rPr>
        <w:t>.</w:t>
      </w:r>
      <w:r w:rsidR="00621F0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C5DE5">
        <w:rPr>
          <w:rFonts w:ascii="Times New Roman" w:hAnsi="Times New Roman" w:cs="Times New Roman"/>
          <w:sz w:val="24"/>
          <w:szCs w:val="24"/>
        </w:rPr>
        <w:t xml:space="preserve">81.790 динара, отплата </w:t>
      </w:r>
      <w:r w:rsidR="00DC5DE5">
        <w:rPr>
          <w:rFonts w:ascii="Times New Roman" w:hAnsi="Times New Roman" w:cs="Times New Roman"/>
          <w:sz w:val="24"/>
          <w:szCs w:val="24"/>
        </w:rPr>
        <w:lastRenderedPageBreak/>
        <w:t xml:space="preserve">камата и пратећи трошкови задуживања у износу од 1.000.000 динара, субвенције у износу од </w:t>
      </w:r>
      <w:r w:rsidR="001B281E" w:rsidRPr="001B281E">
        <w:rPr>
          <w:rFonts w:ascii="Times New Roman" w:hAnsi="Times New Roman" w:cs="Times New Roman"/>
          <w:sz w:val="24"/>
          <w:szCs w:val="24"/>
        </w:rPr>
        <w:t>10</w:t>
      </w:r>
      <w:r w:rsidR="00DC5DE5" w:rsidRPr="001B281E">
        <w:rPr>
          <w:rFonts w:ascii="Times New Roman" w:hAnsi="Times New Roman" w:cs="Times New Roman"/>
          <w:sz w:val="24"/>
          <w:szCs w:val="24"/>
        </w:rPr>
        <w:t>.400.000</w:t>
      </w:r>
      <w:r w:rsidR="00DC5DE5">
        <w:rPr>
          <w:rFonts w:ascii="Times New Roman" w:hAnsi="Times New Roman" w:cs="Times New Roman"/>
          <w:sz w:val="24"/>
          <w:szCs w:val="24"/>
        </w:rPr>
        <w:t xml:space="preserve"> динара, донације, дотац</w:t>
      </w:r>
      <w:r w:rsidR="005D1DE6">
        <w:rPr>
          <w:rFonts w:ascii="Times New Roman" w:hAnsi="Times New Roman" w:cs="Times New Roman"/>
          <w:sz w:val="24"/>
          <w:szCs w:val="24"/>
        </w:rPr>
        <w:t>ије и трансфери у износу од 77.5</w:t>
      </w:r>
      <w:r w:rsidR="00DC5DE5">
        <w:rPr>
          <w:rFonts w:ascii="Times New Roman" w:hAnsi="Times New Roman" w:cs="Times New Roman"/>
          <w:sz w:val="24"/>
          <w:szCs w:val="24"/>
        </w:rPr>
        <w:t>00.000 динара, социјално осигурање и социјална заштита у износу од 3.600.000 динара, остал</w:t>
      </w:r>
      <w:r w:rsidR="005D1DE6">
        <w:rPr>
          <w:rFonts w:ascii="Times New Roman" w:hAnsi="Times New Roman" w:cs="Times New Roman"/>
          <w:sz w:val="24"/>
          <w:szCs w:val="24"/>
        </w:rPr>
        <w:t>и расходи у износу од 12.407.990</w:t>
      </w:r>
      <w:r w:rsidR="00DC5DE5">
        <w:rPr>
          <w:rFonts w:ascii="Times New Roman" w:hAnsi="Times New Roman" w:cs="Times New Roman"/>
          <w:sz w:val="24"/>
          <w:szCs w:val="24"/>
        </w:rPr>
        <w:t xml:space="preserve"> динара, администартивни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 у износу од 6.000.000 динара, ос</w:t>
      </w:r>
      <w:r w:rsidR="005D1DE6">
        <w:rPr>
          <w:rFonts w:ascii="Times New Roman" w:hAnsi="Times New Roman" w:cs="Times New Roman"/>
          <w:sz w:val="24"/>
          <w:szCs w:val="24"/>
        </w:rPr>
        <w:t>новна средства у износу од 128</w:t>
      </w:r>
      <w:r w:rsidR="00DC5DE5">
        <w:rPr>
          <w:rFonts w:ascii="Times New Roman" w:hAnsi="Times New Roman" w:cs="Times New Roman"/>
          <w:sz w:val="24"/>
          <w:szCs w:val="24"/>
        </w:rPr>
        <w:t>.513.000, залихе у износу од 100.000 динара, природна имовина у износу од 500.000 динара и отплата главнице у износу од 24.000.000 динара.</w:t>
      </w:r>
    </w:p>
    <w:p w:rsidR="003E1003" w:rsidRDefault="003E1003" w:rsidP="00DC5DE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5DE5" w:rsidRDefault="00DC5DE5" w:rsidP="00DC5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следећем графику приказана је структура расхода и издатака у процентуалном износу планирана Одлуком о буџету општине Брус за 2021. годину.</w:t>
      </w:r>
    </w:p>
    <w:p w:rsidR="003E1003" w:rsidRDefault="003E1003" w:rsidP="00DC5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003" w:rsidRDefault="003E1003" w:rsidP="00DC5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003" w:rsidRDefault="003E1003" w:rsidP="00DC5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003" w:rsidRDefault="004561D8" w:rsidP="004561D8">
      <w:pPr>
        <w:spacing w:after="0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4561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5075" cy="5514975"/>
            <wp:effectExtent l="19050" t="0" r="952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1003" w:rsidRDefault="003E1003" w:rsidP="0045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003" w:rsidRDefault="003E1003" w:rsidP="0045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DE6" w:rsidRDefault="005D1DE6" w:rsidP="00DC5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003" w:rsidRDefault="003E1003" w:rsidP="003E10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003">
        <w:rPr>
          <w:rFonts w:ascii="Times New Roman" w:hAnsi="Times New Roman" w:cs="Times New Roman"/>
          <w:b/>
          <w:sz w:val="32"/>
          <w:szCs w:val="32"/>
        </w:rPr>
        <w:t>Програмско трошење у 2021. години</w:t>
      </w:r>
    </w:p>
    <w:p w:rsidR="003E1003" w:rsidRDefault="003E1003" w:rsidP="003E1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003" w:rsidRDefault="003E1003" w:rsidP="003E1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003" w:rsidRDefault="003E1003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 општине Брус је програмски. Програм је скуп мера које корисници буџетских средстава спроводе у складу са својим кључним надлежностима и утврђеним средњорочним циљевима. Програм се састоји од програмских активности и пројеката.</w:t>
      </w:r>
    </w:p>
    <w:p w:rsidR="003E1003" w:rsidRDefault="003E1003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Преко програмских активности спроводе се мере на основу уже дефинисаних надлежности и то је текућа и континуирана делатност буџетског корисника која није временски ограничена.</w:t>
      </w:r>
    </w:p>
    <w:p w:rsidR="003E1003" w:rsidRDefault="003E1003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Пројекат је временски ограничен пословни подухват корисника чијим се спровођењем постижу циљеви програма.</w:t>
      </w:r>
    </w:p>
    <w:p w:rsidR="003E1003" w:rsidRDefault="003E1003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 одговорно буџетирање представља увођење принципа родне равноправности што подразумева родну анализу буџета са циљем унапређења родне равноправности. У буџету општине Брус за 2021. годину родно одговорно буџетирање приказано је у виду пројекта „Изађи ми на теглу“ у оквиру програма 4-Развој зуризма и пројекта „Б</w:t>
      </w:r>
      <w:r w:rsidR="00E21814">
        <w:rPr>
          <w:rFonts w:ascii="Times New Roman" w:hAnsi="Times New Roman" w:cs="Times New Roman"/>
          <w:sz w:val="24"/>
          <w:szCs w:val="24"/>
        </w:rPr>
        <w:t>руски школски куп скијања“ у оквиру програма 14-Развој спорта и омладије.</w:t>
      </w:r>
    </w:p>
    <w:p w:rsidR="00E21814" w:rsidRDefault="00E21814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1814" w:rsidRDefault="00E21814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2021. години</w:t>
      </w:r>
      <w:r w:rsidR="001B281E">
        <w:rPr>
          <w:rFonts w:ascii="Times New Roman" w:hAnsi="Times New Roman" w:cs="Times New Roman"/>
          <w:sz w:val="24"/>
          <w:szCs w:val="24"/>
        </w:rPr>
        <w:t xml:space="preserve"> средства буџета у износу од 563</w:t>
      </w:r>
      <w:r>
        <w:rPr>
          <w:rFonts w:ascii="Times New Roman" w:hAnsi="Times New Roman" w:cs="Times New Roman"/>
          <w:sz w:val="24"/>
          <w:szCs w:val="24"/>
        </w:rPr>
        <w:t>.000.000 динара распоређена су на 16 програма и то:</w:t>
      </w:r>
    </w:p>
    <w:p w:rsidR="00E21814" w:rsidRDefault="00E21814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26"/>
        <w:gridCol w:w="1579"/>
        <w:gridCol w:w="1383"/>
      </w:tblGrid>
      <w:tr w:rsidR="00E21814" w:rsidTr="001B281E">
        <w:tc>
          <w:tcPr>
            <w:tcW w:w="6326" w:type="dxa"/>
          </w:tcPr>
          <w:p w:rsidR="00E21814" w:rsidRPr="00E21814" w:rsidRDefault="00E21814" w:rsidP="003E1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14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програма</w:t>
            </w:r>
          </w:p>
        </w:tc>
        <w:tc>
          <w:tcPr>
            <w:tcW w:w="1579" w:type="dxa"/>
          </w:tcPr>
          <w:p w:rsidR="00E21814" w:rsidRPr="00E21814" w:rsidRDefault="00E21814" w:rsidP="003E1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14">
              <w:rPr>
                <w:rFonts w:ascii="Times New Roman" w:hAnsi="Times New Roman" w:cs="Times New Roman"/>
                <w:b/>
                <w:sz w:val="24"/>
                <w:szCs w:val="24"/>
              </w:rPr>
              <w:t>План за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21814" w:rsidRPr="00E21814" w:rsidRDefault="00E21814" w:rsidP="003E1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14">
              <w:rPr>
                <w:rFonts w:ascii="Times New Roman" w:hAnsi="Times New Roman" w:cs="Times New Roman"/>
                <w:b/>
                <w:sz w:val="24"/>
                <w:szCs w:val="24"/>
              </w:rPr>
              <w:t>%учешћа у укупним расходима и издацима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 Становање, урбанизам и просторно планирање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2 Комуналне делатности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3 Локални економски развој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4 Развој туризма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7.507.021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5 Пољопривреда и рурални развој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6 Заштита животне средине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7 Организација саобраћаја и саобраћајна инфраструктура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107.892.000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8 Предшколско образовање и васпитање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84.285.248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9 Основно образовање и васпитање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10 Средње образовање и васпитање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11 Социјална и дечја заштита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10.650.000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12 Здравствена заштита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13 Развој културе и информисања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22.915.584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14 Развој спорта и омладине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12.812.908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15 Опште услуге локалне самоуправе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162.524.782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28,87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Политички систем локалне самоуправе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22.962.457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E21814" w:rsidTr="001B281E">
        <w:tc>
          <w:tcPr>
            <w:tcW w:w="6326" w:type="dxa"/>
          </w:tcPr>
          <w:p w:rsidR="00E21814" w:rsidRDefault="00E21814" w:rsidP="003E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579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563.000.000</w:t>
            </w:r>
          </w:p>
        </w:tc>
        <w:tc>
          <w:tcPr>
            <w:tcW w:w="1383" w:type="dxa"/>
          </w:tcPr>
          <w:p w:rsidR="00E21814" w:rsidRDefault="001B281E" w:rsidP="001B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21814" w:rsidRDefault="00E21814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61D8" w:rsidRDefault="004561D8" w:rsidP="003E10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192D" w:rsidRDefault="004561D8" w:rsidP="004561D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61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4595" cy="6286500"/>
            <wp:effectExtent l="19050" t="0" r="20955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9192D" w:rsidSect="00F274A4">
      <w:footerReference w:type="default" r:id="rId13"/>
      <w:pgSz w:w="11906" w:h="16838" w:code="9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C7" w:rsidRDefault="00F223C7" w:rsidP="00F274A4">
      <w:pPr>
        <w:spacing w:after="0" w:line="240" w:lineRule="auto"/>
      </w:pPr>
      <w:r>
        <w:separator/>
      </w:r>
    </w:p>
  </w:endnote>
  <w:endnote w:type="continuationSeparator" w:id="0">
    <w:p w:rsidR="00F223C7" w:rsidRDefault="00F223C7" w:rsidP="00F2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8799"/>
      <w:docPartObj>
        <w:docPartGallery w:val="Page Numbers (Bottom of Page)"/>
        <w:docPartUnique/>
      </w:docPartObj>
    </w:sdtPr>
    <w:sdtContent>
      <w:p w:rsidR="00F274A4" w:rsidRDefault="00366A9A">
        <w:pPr>
          <w:pStyle w:val="Footer"/>
          <w:jc w:val="right"/>
        </w:pPr>
        <w:fldSimple w:instr=" PAGE   \* MERGEFORMAT ">
          <w:r w:rsidR="00DC4F3A">
            <w:rPr>
              <w:noProof/>
            </w:rPr>
            <w:t>2</w:t>
          </w:r>
        </w:fldSimple>
      </w:p>
    </w:sdtContent>
  </w:sdt>
  <w:p w:rsidR="00F274A4" w:rsidRDefault="00F27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C7" w:rsidRDefault="00F223C7" w:rsidP="00F274A4">
      <w:pPr>
        <w:spacing w:after="0" w:line="240" w:lineRule="auto"/>
      </w:pPr>
      <w:r>
        <w:separator/>
      </w:r>
    </w:p>
  </w:footnote>
  <w:footnote w:type="continuationSeparator" w:id="0">
    <w:p w:rsidR="00F223C7" w:rsidRDefault="00F223C7" w:rsidP="00F2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267"/>
    <w:multiLevelType w:val="hybridMultilevel"/>
    <w:tmpl w:val="7196192C"/>
    <w:lvl w:ilvl="0" w:tplc="28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50" w:hanging="360"/>
      </w:pPr>
    </w:lvl>
    <w:lvl w:ilvl="2" w:tplc="281A001B" w:tentative="1">
      <w:start w:val="1"/>
      <w:numFmt w:val="lowerRoman"/>
      <w:lvlText w:val="%3."/>
      <w:lvlJc w:val="right"/>
      <w:pPr>
        <w:ind w:left="2070" w:hanging="180"/>
      </w:pPr>
    </w:lvl>
    <w:lvl w:ilvl="3" w:tplc="281A000F" w:tentative="1">
      <w:start w:val="1"/>
      <w:numFmt w:val="decimal"/>
      <w:lvlText w:val="%4."/>
      <w:lvlJc w:val="left"/>
      <w:pPr>
        <w:ind w:left="2790" w:hanging="360"/>
      </w:pPr>
    </w:lvl>
    <w:lvl w:ilvl="4" w:tplc="281A0019" w:tentative="1">
      <w:start w:val="1"/>
      <w:numFmt w:val="lowerLetter"/>
      <w:lvlText w:val="%5."/>
      <w:lvlJc w:val="left"/>
      <w:pPr>
        <w:ind w:left="3510" w:hanging="360"/>
      </w:pPr>
    </w:lvl>
    <w:lvl w:ilvl="5" w:tplc="281A001B" w:tentative="1">
      <w:start w:val="1"/>
      <w:numFmt w:val="lowerRoman"/>
      <w:lvlText w:val="%6."/>
      <w:lvlJc w:val="right"/>
      <w:pPr>
        <w:ind w:left="4230" w:hanging="180"/>
      </w:pPr>
    </w:lvl>
    <w:lvl w:ilvl="6" w:tplc="281A000F" w:tentative="1">
      <w:start w:val="1"/>
      <w:numFmt w:val="decimal"/>
      <w:lvlText w:val="%7."/>
      <w:lvlJc w:val="left"/>
      <w:pPr>
        <w:ind w:left="4950" w:hanging="360"/>
      </w:pPr>
    </w:lvl>
    <w:lvl w:ilvl="7" w:tplc="281A0019" w:tentative="1">
      <w:start w:val="1"/>
      <w:numFmt w:val="lowerLetter"/>
      <w:lvlText w:val="%8."/>
      <w:lvlJc w:val="left"/>
      <w:pPr>
        <w:ind w:left="5670" w:hanging="360"/>
      </w:pPr>
    </w:lvl>
    <w:lvl w:ilvl="8" w:tplc="28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8CD4689"/>
    <w:multiLevelType w:val="hybridMultilevel"/>
    <w:tmpl w:val="648A714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824F9"/>
    <w:multiLevelType w:val="hybridMultilevel"/>
    <w:tmpl w:val="599ADF48"/>
    <w:lvl w:ilvl="0" w:tplc="C8F4B17C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D84"/>
    <w:rsid w:val="00021D76"/>
    <w:rsid w:val="0006113E"/>
    <w:rsid w:val="0009192D"/>
    <w:rsid w:val="000D1F83"/>
    <w:rsid w:val="000D669A"/>
    <w:rsid w:val="001610B1"/>
    <w:rsid w:val="001B281E"/>
    <w:rsid w:val="001C3C44"/>
    <w:rsid w:val="00263E76"/>
    <w:rsid w:val="002739AE"/>
    <w:rsid w:val="00366A9A"/>
    <w:rsid w:val="003E1003"/>
    <w:rsid w:val="004561D8"/>
    <w:rsid w:val="005D1DE6"/>
    <w:rsid w:val="00621F04"/>
    <w:rsid w:val="00636481"/>
    <w:rsid w:val="00652E74"/>
    <w:rsid w:val="006A6E3F"/>
    <w:rsid w:val="006B5E8E"/>
    <w:rsid w:val="006D5CC7"/>
    <w:rsid w:val="00724CE4"/>
    <w:rsid w:val="0073328E"/>
    <w:rsid w:val="007736AC"/>
    <w:rsid w:val="008763AF"/>
    <w:rsid w:val="00921C29"/>
    <w:rsid w:val="00942912"/>
    <w:rsid w:val="0097437E"/>
    <w:rsid w:val="009B3306"/>
    <w:rsid w:val="00A607F9"/>
    <w:rsid w:val="00AD4639"/>
    <w:rsid w:val="00B63D36"/>
    <w:rsid w:val="00B72172"/>
    <w:rsid w:val="00BF3160"/>
    <w:rsid w:val="00C229F5"/>
    <w:rsid w:val="00C45083"/>
    <w:rsid w:val="00D204C1"/>
    <w:rsid w:val="00DA7B13"/>
    <w:rsid w:val="00DB4A90"/>
    <w:rsid w:val="00DC4F3A"/>
    <w:rsid w:val="00DC5A5D"/>
    <w:rsid w:val="00DC5DE5"/>
    <w:rsid w:val="00DF2D84"/>
    <w:rsid w:val="00E21814"/>
    <w:rsid w:val="00E23D0F"/>
    <w:rsid w:val="00E36C5C"/>
    <w:rsid w:val="00E63AD6"/>
    <w:rsid w:val="00EB012C"/>
    <w:rsid w:val="00EF272C"/>
    <w:rsid w:val="00EF5E17"/>
    <w:rsid w:val="00F1326D"/>
    <w:rsid w:val="00F223C7"/>
    <w:rsid w:val="00F274A4"/>
    <w:rsid w:val="00F5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4B"/>
    <w:pPr>
      <w:ind w:left="720"/>
      <w:contextualSpacing/>
    </w:pPr>
  </w:style>
  <w:style w:type="table" w:styleId="TableGrid">
    <w:name w:val="Table Grid"/>
    <w:basedOn w:val="TableNormal"/>
    <w:uiPriority w:val="59"/>
    <w:rsid w:val="00E2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4A4"/>
  </w:style>
  <w:style w:type="paragraph" w:styleId="Footer">
    <w:name w:val="footer"/>
    <w:basedOn w:val="Normal"/>
    <w:link w:val="FooterChar"/>
    <w:uiPriority w:val="99"/>
    <w:unhideWhenUsed/>
    <w:rsid w:val="00F2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4B"/>
    <w:pPr>
      <w:ind w:left="720"/>
      <w:contextualSpacing/>
    </w:pPr>
  </w:style>
  <w:style w:type="table" w:styleId="TableGrid">
    <w:name w:val="Table Grid"/>
    <w:basedOn w:val="TableNormal"/>
    <w:uiPriority w:val="59"/>
    <w:rsid w:val="00E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Примања од продаје непокретности</c:v>
                </c:pt>
                <c:pt idx="1">
                  <c:v>Непорески приход</c:v>
                </c:pt>
                <c:pt idx="2">
                  <c:v>Донације и трансфери</c:v>
                </c:pt>
                <c:pt idx="3">
                  <c:v>Порески приходи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2500</c:v>
                </c:pt>
                <c:pt idx="1">
                  <c:v>23290</c:v>
                </c:pt>
                <c:pt idx="2">
                  <c:v>253410</c:v>
                </c:pt>
                <c:pt idx="3">
                  <c:v>283800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Примања од продаје непокретности</c:v>
                </c:pt>
                <c:pt idx="1">
                  <c:v>Непорески приход</c:v>
                </c:pt>
                <c:pt idx="2">
                  <c:v>Донације и трансфери</c:v>
                </c:pt>
                <c:pt idx="3">
                  <c:v>Порески приходи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Примања од продаје непокретности</c:v>
                </c:pt>
                <c:pt idx="1">
                  <c:v>Непорески приход</c:v>
                </c:pt>
                <c:pt idx="2">
                  <c:v>Донације и трансфери</c:v>
                </c:pt>
                <c:pt idx="3">
                  <c:v>Порески приходи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overlap val="100"/>
        <c:axId val="71022464"/>
        <c:axId val="71046272"/>
      </c:barChart>
      <c:catAx>
        <c:axId val="71022464"/>
        <c:scaling>
          <c:orientation val="minMax"/>
        </c:scaling>
        <c:axPos val="l"/>
        <c:tickLblPos val="nextTo"/>
        <c:crossAx val="71046272"/>
        <c:crosses val="autoZero"/>
        <c:auto val="1"/>
        <c:lblAlgn val="ctr"/>
        <c:lblOffset val="100"/>
      </c:catAx>
      <c:valAx>
        <c:axId val="71046272"/>
        <c:scaling>
          <c:orientation val="minMax"/>
        </c:scaling>
        <c:axPos val="b"/>
        <c:majorGridlines/>
        <c:numFmt formatCode="#,##0" sourceLinked="1"/>
        <c:tickLblPos val="nextTo"/>
        <c:crossAx val="7102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72243870540111"/>
          <c:y val="0.40198962934511251"/>
          <c:w val="0.12162568416149354"/>
          <c:h val="6.5939440496767185E-2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RS"/>
              <a:t>Структура</a:t>
            </a:r>
            <a:r>
              <a:rPr lang="sr-Cyrl-RS" baseline="0"/>
              <a:t> прихода и примања</a:t>
            </a:r>
            <a:endParaRPr lang="sr-Cyrl-R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прихода и примања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Порески приходи</c:v>
                </c:pt>
                <c:pt idx="1">
                  <c:v>Донације и трансфери</c:v>
                </c:pt>
                <c:pt idx="2">
                  <c:v>Непорески приходи</c:v>
                </c:pt>
                <c:pt idx="3">
                  <c:v>Примања од продаје непокретности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50.41</c:v>
                </c:pt>
                <c:pt idx="1">
                  <c:v>45.01</c:v>
                </c:pt>
                <c:pt idx="2">
                  <c:v>4.1399999999999997</c:v>
                </c:pt>
                <c:pt idx="3">
                  <c:v>0.44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3"/>
              <c:layout>
                <c:manualLayout>
                  <c:x val="-9.2688685407536719E-2"/>
                  <c:y val="-5.8896731172852108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Sheet1!$A$2:$A$13</c:f>
              <c:strCache>
                <c:ptCount val="12"/>
                <c:pt idx="0">
                  <c:v>Расходи за запослене</c:v>
                </c:pt>
                <c:pt idx="1">
                  <c:v>Коришћене роба и услуга</c:v>
                </c:pt>
                <c:pt idx="2">
                  <c:v>Отплата камате и пратећи трошкови задуживања</c:v>
                </c:pt>
                <c:pt idx="3">
                  <c:v>Субвеницеје</c:v>
                </c:pt>
                <c:pt idx="4">
                  <c:v>Дотације и трансвери</c:v>
                </c:pt>
                <c:pt idx="5">
                  <c:v>Социјално осигурање и соц.заштита</c:v>
                </c:pt>
                <c:pt idx="6">
                  <c:v>Остали расходи</c:v>
                </c:pt>
                <c:pt idx="7">
                  <c:v>Административни трансфери из буџета</c:v>
                </c:pt>
                <c:pt idx="8">
                  <c:v>Основна средства</c:v>
                </c:pt>
                <c:pt idx="9">
                  <c:v>Залихе</c:v>
                </c:pt>
                <c:pt idx="10">
                  <c:v>Природна имовина</c:v>
                </c:pt>
                <c:pt idx="11">
                  <c:v>Отплата главнице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27.67</c:v>
                </c:pt>
                <c:pt idx="1">
                  <c:v>25.41</c:v>
                </c:pt>
                <c:pt idx="2">
                  <c:v>0.2</c:v>
                </c:pt>
                <c:pt idx="3">
                  <c:v>1.85</c:v>
                </c:pt>
                <c:pt idx="4">
                  <c:v>13.77</c:v>
                </c:pt>
                <c:pt idx="5">
                  <c:v>0.64000000000000212</c:v>
                </c:pt>
                <c:pt idx="6">
                  <c:v>2.2000000000000002</c:v>
                </c:pt>
                <c:pt idx="7">
                  <c:v>1.07</c:v>
                </c:pt>
                <c:pt idx="8">
                  <c:v>22.830000000000005</c:v>
                </c:pt>
                <c:pt idx="9">
                  <c:v>2.0000000000000011E-2</c:v>
                </c:pt>
                <c:pt idx="10">
                  <c:v>9.0000000000000024E-2</c:v>
                </c:pt>
                <c:pt idx="11">
                  <c:v>4.26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Буџет 2021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Sheet1!$A$2:$A$17</c:f>
              <c:strCache>
                <c:ptCount val="16"/>
                <c:pt idx="0">
                  <c:v>Становање, урбанизам и просторно планирање</c:v>
                </c:pt>
                <c:pt idx="1">
                  <c:v>Комуналне делатности</c:v>
                </c:pt>
                <c:pt idx="2">
                  <c:v>Локални економски развој</c:v>
                </c:pt>
                <c:pt idx="3">
                  <c:v>Развој туризма</c:v>
                </c:pt>
                <c:pt idx="4">
                  <c:v>Пољопривреда и рурални развој</c:v>
                </c:pt>
                <c:pt idx="5">
                  <c:v>Заштита животне средине</c:v>
                </c:pt>
                <c:pt idx="6">
                  <c:v>Организација саобраћаја и саобораћајна инфр.</c:v>
                </c:pt>
                <c:pt idx="7">
                  <c:v>Предшколско образовање и васпитање</c:v>
                </c:pt>
                <c:pt idx="8">
                  <c:v>Основно образовање и васпитање</c:v>
                </c:pt>
                <c:pt idx="9">
                  <c:v>Средње образовање и васпитање</c:v>
                </c:pt>
                <c:pt idx="10">
                  <c:v>Социјална и дечија заштита</c:v>
                </c:pt>
                <c:pt idx="11">
                  <c:v>Здравствена заштита</c:v>
                </c:pt>
                <c:pt idx="12">
                  <c:v>Развој културе и информисања</c:v>
                </c:pt>
                <c:pt idx="13">
                  <c:v>Развој спорта и омладине</c:v>
                </c:pt>
                <c:pt idx="14">
                  <c:v>Опште услуге локалне самоуправе</c:v>
                </c:pt>
                <c:pt idx="15">
                  <c:v>Политички систем локалне самоуправе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1.9000000000000001</c:v>
                </c:pt>
                <c:pt idx="1">
                  <c:v>7.23</c:v>
                </c:pt>
                <c:pt idx="2">
                  <c:v>1.07</c:v>
                </c:pt>
                <c:pt idx="3">
                  <c:v>1.33</c:v>
                </c:pt>
                <c:pt idx="4">
                  <c:v>1.02</c:v>
                </c:pt>
                <c:pt idx="5">
                  <c:v>0.18000000000000024</c:v>
                </c:pt>
                <c:pt idx="6">
                  <c:v>19.16</c:v>
                </c:pt>
                <c:pt idx="7">
                  <c:v>14.97</c:v>
                </c:pt>
                <c:pt idx="8">
                  <c:v>9.5</c:v>
                </c:pt>
                <c:pt idx="9">
                  <c:v>1.78</c:v>
                </c:pt>
                <c:pt idx="10">
                  <c:v>1.8900000000000001</c:v>
                </c:pt>
                <c:pt idx="11">
                  <c:v>0.67000000000000193</c:v>
                </c:pt>
                <c:pt idx="12">
                  <c:v>4.07</c:v>
                </c:pt>
                <c:pt idx="13">
                  <c:v>2.2799999999999998</c:v>
                </c:pt>
                <c:pt idx="14">
                  <c:v>28.87</c:v>
                </c:pt>
                <c:pt idx="15">
                  <c:v>4.08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0.83276</cdr:x>
      <cdr:y>0.10027</cdr:y>
    </cdr:from>
    <cdr:to>
      <cdr:x>0.9744</cdr:x>
      <cdr:y>0.17615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648200" y="352426"/>
          <a:ext cx="7905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0.82765</cdr:x>
      <cdr:y>0.11653</cdr:y>
    </cdr:from>
    <cdr:to>
      <cdr:x>0.98805</cdr:x>
      <cdr:y>0.1897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013821" y="409571"/>
          <a:ext cx="971687" cy="2571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283.800</a:t>
          </a:r>
        </a:p>
      </cdr:txBody>
    </cdr:sp>
  </cdr:relSizeAnchor>
  <cdr:relSizeAnchor xmlns:cdr="http://schemas.openxmlformats.org/drawingml/2006/chartDrawing">
    <cdr:from>
      <cdr:x>0.82082</cdr:x>
      <cdr:y>0.32249</cdr:y>
    </cdr:from>
    <cdr:to>
      <cdr:x>0.96587</cdr:x>
      <cdr:y>0.39295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581525" y="1133475"/>
          <a:ext cx="8096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253.410</a:t>
          </a:r>
        </a:p>
      </cdr:txBody>
    </cdr:sp>
  </cdr:relSizeAnchor>
  <cdr:relSizeAnchor xmlns:cdr="http://schemas.openxmlformats.org/drawingml/2006/chartDrawing">
    <cdr:from>
      <cdr:x>0.82082</cdr:x>
      <cdr:y>0.53388</cdr:y>
    </cdr:from>
    <cdr:to>
      <cdr:x>0.97099</cdr:x>
      <cdr:y>0.61518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581530" y="1876425"/>
          <a:ext cx="83819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23.290.</a:t>
          </a:r>
        </a:p>
      </cdr:txBody>
    </cdr:sp>
  </cdr:relSizeAnchor>
  <cdr:relSizeAnchor xmlns:cdr="http://schemas.openxmlformats.org/drawingml/2006/chartDrawing">
    <cdr:from>
      <cdr:x>0.82765</cdr:x>
      <cdr:y>0.76965</cdr:y>
    </cdr:from>
    <cdr:to>
      <cdr:x>0.97099</cdr:x>
      <cdr:y>0.8374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619625" y="2705100"/>
          <a:ext cx="8001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2.500.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C8C9F-A026-4CF6-B681-F3915127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Општинска управа</dc:creator>
  <cp:lastModifiedBy>Opstinska Uprava</cp:lastModifiedBy>
  <cp:revision>24</cp:revision>
  <cp:lastPrinted>2020-12-03T06:35:00Z</cp:lastPrinted>
  <dcterms:created xsi:type="dcterms:W3CDTF">2020-12-02T08:53:00Z</dcterms:created>
  <dcterms:modified xsi:type="dcterms:W3CDTF">2020-12-04T09:42:00Z</dcterms:modified>
</cp:coreProperties>
</file>